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СПЕЦИФИКАЦИЯ</w:t>
      </w:r>
      <w:r>
        <w:rPr>
          <w:b/>
          <w:sz w:val="24"/>
          <w:szCs w:val="24"/>
        </w:rPr>
      </w:r>
    </w:p>
    <w:p>
      <w:pPr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роверочной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литературному чтению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обучающихся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-х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классов общеобразовательных организаций Московской области,</w:t>
      </w:r>
      <w:r>
        <w:rPr>
          <w:b/>
          <w:sz w:val="24"/>
          <w:szCs w:val="24"/>
        </w:rPr>
      </w:r>
    </w:p>
    <w:p>
      <w:pPr>
        <w:ind w:right="79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участвующих 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проекте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«Эффективна</w:t>
      </w:r>
      <w:r>
        <w:rPr>
          <w:b/>
          <w:spacing w:val="-2"/>
          <w:sz w:val="24"/>
          <w:szCs w:val="24"/>
        </w:rPr>
        <w:t xml:space="preserve">я </w:t>
      </w:r>
      <w:r>
        <w:rPr>
          <w:b/>
          <w:spacing w:val="-2"/>
          <w:sz w:val="24"/>
          <w:szCs w:val="24"/>
        </w:rPr>
        <w:t xml:space="preserve">начальная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школа»</w:t>
      </w:r>
      <w:r>
        <w:rPr>
          <w:b/>
          <w:spacing w:val="-2"/>
          <w:sz w:val="24"/>
          <w:szCs w:val="24"/>
        </w:rPr>
      </w:r>
    </w:p>
    <w:p>
      <w:pPr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67"/>
        <w:jc w:val="both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>
        <w:rPr>
          <w:sz w:val="24"/>
          <w:szCs w:val="24"/>
        </w:rPr>
        <w:t xml:space="preserve">самостоятельно </w:t>
      </w:r>
      <w:r>
        <w:rPr>
          <w:b/>
          <w:sz w:val="24"/>
          <w:szCs w:val="24"/>
        </w:rPr>
        <w:t xml:space="preserve">в мае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года.</w:t>
      </w:r>
      <w:r>
        <w:rPr>
          <w:b/>
          <w:sz w:val="24"/>
          <w:szCs w:val="24"/>
        </w:rPr>
      </w:r>
    </w:p>
    <w:p>
      <w:pPr>
        <w:pStyle w:val="629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Назначение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</w:p>
    <w:p>
      <w:pPr>
        <w:ind w:right="3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Проверочная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усвоения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pacing w:val="-5"/>
          <w:sz w:val="24"/>
          <w:szCs w:val="24"/>
        </w:rPr>
        <w:t xml:space="preserve"> программы по литературному чтению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второй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  <w:r>
        <w:rPr>
          <w:sz w:val="24"/>
          <w:szCs w:val="24"/>
        </w:rPr>
      </w:r>
    </w:p>
    <w:p>
      <w:pPr>
        <w:pStyle w:val="629"/>
        <w:numPr>
          <w:ilvl w:val="0"/>
          <w:numId w:val="1"/>
        </w:numPr>
        <w:ind w:left="0" w:firstLine="567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проводится в рамках ВСОКО.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нужна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ручка. Дополнительное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требуются.</w:t>
      </w:r>
      <w:r>
        <w:rPr>
          <w:sz w:val="24"/>
          <w:szCs w:val="24"/>
        </w:rPr>
        <w:t xml:space="preserve"> Ответы</w:t>
      </w:r>
      <w:r>
        <w:rPr>
          <w:sz w:val="24"/>
          <w:szCs w:val="24"/>
        </w:rPr>
        <w:t xml:space="preserve"> обу</w:t>
      </w:r>
      <w:r>
        <w:rPr>
          <w:sz w:val="24"/>
          <w:szCs w:val="24"/>
        </w:rPr>
        <w:t xml:space="preserve">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щиеся записывают в контрольных измерительных </w:t>
      </w:r>
      <w:r>
        <w:rPr>
          <w:spacing w:val="-2"/>
          <w:sz w:val="24"/>
          <w:szCs w:val="24"/>
        </w:rPr>
        <w:t xml:space="preserve">материалах.</w:t>
      </w:r>
      <w:r>
        <w:rPr>
          <w:sz w:val="24"/>
          <w:szCs w:val="24"/>
        </w:rPr>
        <w:t xml:space="preserve"> Выполнение заданий проверочной работы не требует специальной подготовки обучающихся. </w:t>
      </w:r>
      <w:r>
        <w:rPr>
          <w:sz w:val="24"/>
          <w:szCs w:val="24"/>
        </w:rPr>
      </w:r>
    </w:p>
    <w:p>
      <w:pPr>
        <w:pStyle w:val="629"/>
        <w:numPr>
          <w:ilvl w:val="0"/>
          <w:numId w:val="1"/>
        </w:numPr>
        <w:ind w:left="0" w:firstLine="567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 xml:space="preserve">Время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минут.</w:t>
      </w:r>
      <w:r>
        <w:rPr>
          <w:b/>
          <w:spacing w:val="-2"/>
          <w:sz w:val="24"/>
          <w:szCs w:val="24"/>
        </w:rPr>
      </w:r>
    </w:p>
    <w:p>
      <w:pPr>
        <w:pStyle w:val="629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структура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9"/>
        <w:ind w:left="0" w:firstLine="567"/>
        <w:jc w:val="both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освоения программы по литературному чтению.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ind w:left="0" w:firstLine="567"/>
        <w:jc w:val="both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класса. Проверочная работа включает художественный текст (для самостоятельного чтения обучающимися) и 11 заданий на основе этого текста: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одного или нескольких верных ответов,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с развернутым ответом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задания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направлены на проверку читательской грамотности обучающихся.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9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Условные обозначения типов заданий: ВО – выбор ответа, КО – краткий ответ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</w:r>
    </w:p>
    <w:p>
      <w:pPr>
        <w:ind w:left="821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28"/>
        <w:tblW w:w="97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4536"/>
        <w:gridCol w:w="708"/>
        <w:gridCol w:w="709"/>
      </w:tblGrid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21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№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21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Контролируемые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элементы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содержания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21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Планируемые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результаты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обучения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21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Тип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зада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  <w:p>
            <w:pPr>
              <w:jc w:val="center"/>
              <w:tabs>
                <w:tab w:val="left" w:pos="1021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ния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021" w:leader="none"/>
              </w:tabs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Макс балл</w:t>
            </w:r>
            <w:r>
              <w:rPr>
                <w:b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265"/>
              <w:jc w:val="center"/>
              <w:spacing w:line="240" w:lineRule="auto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Различение отдельных жанров художественной литературы.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Различать п</w:t>
            </w:r>
            <w:r>
              <w:rPr>
                <w:lang w:val="ru-RU"/>
              </w:rPr>
              <w:t xml:space="preserve">розаическую и </w:t>
            </w:r>
            <w:r>
              <w:rPr>
                <w:lang w:val="ru-RU"/>
              </w:rPr>
              <w:t xml:space="preserve">стихотворную речь: называть особенности стихотворного произведения (ритм, рифма).</w:t>
            </w:r>
            <w:r>
              <w:rPr>
                <w:lang w:val="ru-RU"/>
              </w:rPr>
            </w:r>
          </w:p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Различать и называть отдельные жанры фольклора </w:t>
            </w:r>
            <w:r>
              <w:rPr>
                <w:lang w:val="ru-RU"/>
              </w:rPr>
              <w:t xml:space="preserve">и </w:t>
            </w:r>
            <w:r>
              <w:rPr>
                <w:lang w:val="ru-RU"/>
              </w:rPr>
              <w:t xml:space="preserve">художественной литературы (литературные сказки, рассказы, стихотворения</w:t>
            </w:r>
            <w:r>
              <w:rPr>
                <w:lang w:val="ru-RU"/>
              </w:rPr>
              <w:t xml:space="preserve">, басни</w:t>
            </w:r>
            <w:r>
              <w:rPr>
                <w:lang w:val="ru-RU"/>
              </w:rPr>
              <w:t xml:space="preserve">)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8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416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Владеть элементарными умениями анализа и интерпретации текста: о</w:t>
            </w:r>
            <w:r>
              <w:rPr>
                <w:lang w:val="ru-RU"/>
              </w:rPr>
              <w:t xml:space="preserve">пределять тему и главную мысль текста.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9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578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Понимание содержания прочитанного произведения, ответы на вопросы по фактическому содержанию произведения. 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Понимать содержание, смысл прочитанного произведения: отвечать </w:t>
            </w:r>
            <w:r>
              <w:rPr>
                <w:lang w:val="ru-RU"/>
              </w:rPr>
              <w:t xml:space="preserve">и формулировать </w:t>
            </w:r>
            <w:r>
              <w:rPr>
                <w:lang w:val="ru-RU"/>
              </w:rPr>
              <w:t xml:space="preserve">вопросы по факти</w:t>
            </w:r>
            <w:r>
              <w:rPr>
                <w:lang w:val="ru-RU"/>
              </w:rPr>
              <w:t xml:space="preserve">ческому содержанию произведения.</w:t>
            </w: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9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Понимание содержания прочитанного произведения, ответы на вопросы по фактическому содержанию произведения.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Описывать характер героя, находить в тексте </w:t>
            </w:r>
            <w:r>
              <w:rPr>
                <w:lang w:val="ru-RU"/>
              </w:rPr>
              <w:t xml:space="preserve">средства изображения (портрет) героя.</w:t>
            </w:r>
            <w:r>
              <w:rPr>
                <w:lang w:val="ru-RU"/>
              </w:rPr>
            </w:r>
          </w:p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Оценивать поступки героев произведения, устанавливать взаимосвязь между характером героя и его поступками.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9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tabs>
                <w:tab w:val="left" w:pos="219" w:leader="none"/>
                <w:tab w:val="center" w:pos="291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385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Воспроизводить последовательность событий в тексте произведения.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8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trHeight w:val="389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tabs>
                <w:tab w:val="left" w:pos="269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Объяснение выражений или речевых оборотов, используя контекст произведения.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в тексте примеры использования слов в прямом и переносном значении.</w:t>
            </w:r>
            <w:r>
              <w:rPr>
                <w:lang w:val="ru-RU"/>
              </w:rPr>
            </w:r>
          </w:p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708" w:type="dxa"/>
            <w:textDirection w:val="lrTb"/>
            <w:noWrap w:val="false"/>
          </w:tcPr>
          <w:p>
            <w:pPr>
              <w:pStyle w:val="630"/>
              <w:ind w:right="158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Р</w:t>
            </w:r>
            <w:r>
              <w:rPr>
                <w:spacing w:val="-5"/>
              </w:rPr>
              <w:t xml:space="preserve">О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000000" w:sz="2" w:space="0"/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Владеть элементарными умениями анализа и интерпретации текста: определять тему и главную мысль текста; </w:t>
            </w:r>
            <w:r>
              <w:rPr>
                <w:lang w:val="ru-RU"/>
              </w:rPr>
              <w:t xml:space="preserve">соотносить с </w:t>
            </w:r>
            <w:r>
              <w:rPr>
                <w:lang w:val="ru-RU"/>
              </w:rPr>
              <w:t xml:space="preserve">пословицами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708" w:type="dxa"/>
            <w:textDirection w:val="lrTb"/>
            <w:noWrap w:val="false"/>
          </w:tcPr>
          <w:p>
            <w:pPr>
              <w:pStyle w:val="630"/>
              <w:ind w:right="158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Borders>
              <w:top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82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</w:pPr>
            <w:r>
              <w:t xml:space="preserve">8</w:t>
            </w:r>
            <w:r/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Объяснение незнакомых слов</w:t>
            </w:r>
            <w:r>
              <w:rPr>
                <w:lang w:val="ru-RU"/>
              </w:rPr>
              <w:t xml:space="preserve"> и речевых оборотов,</w:t>
            </w:r>
            <w:r>
              <w:rPr>
                <w:lang w:val="ru-RU"/>
              </w:rPr>
              <w:t xml:space="preserve"> используя контекст произведения.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Объяснять значение незнакомого слова с опорой на контекст и с использованием словаря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8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</w:pPr>
            <w:r>
              <w:t xml:space="preserve">9</w:t>
            </w:r>
            <w:r/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Объяснение незнакомых слов, используя контекст произведения.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Использовать справочную литературу для получения дополнительной информации в соответствии с учебной задачей.</w:t>
            </w:r>
            <w:r>
              <w:rPr>
                <w:lang w:val="ru-RU"/>
              </w:rPr>
            </w:r>
          </w:p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в тексте примеры использования слов в прямом и переносном значении.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9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303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Ориентация в тексте по заданному основанию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Составлять высказывания на заданную тему по содержанию произведения (не менее 5 предложений).</w:t>
            </w:r>
            <w:r>
              <w:rPr>
                <w:lang w:val="ru-RU"/>
              </w:rPr>
            </w:r>
          </w:p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Формулировать устно простые выводы, подтверждать свой ответ примерами из текста.</w:t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РО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30"/>
              <w:ind w:right="260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</w:rPr>
              <w:t xml:space="preserve">1</w:t>
            </w:r>
            <w:r>
              <w:rPr>
                <w:spacing w:val="-5"/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3119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Овладение элементарными умениями анализа текста прочитанного произведения.</w:t>
            </w:r>
            <w:r>
              <w:rPr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Осознанно применять для анализа текста изученные понятия (тема, заголовок).</w:t>
            </w:r>
            <w:r>
              <w:rPr>
                <w:lang w:val="ru-RU"/>
              </w:rPr>
            </w:r>
          </w:p>
          <w:p>
            <w:pPr>
              <w:pStyle w:val="630"/>
              <w:ind w:left="146" w:right="129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30"/>
              <w:ind w:right="157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30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</w:tbl>
    <w:p>
      <w:pPr>
        <w:pStyle w:val="629"/>
        <w:ind w:left="0" w:firstLine="0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9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Система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оценки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pacing w:val="66"/>
          <w:sz w:val="24"/>
          <w:szCs w:val="24"/>
        </w:rPr>
        <w:t xml:space="preserve"> №</w:t>
      </w:r>
      <w:r>
        <w:rPr>
          <w:sz w:val="24"/>
          <w:szCs w:val="24"/>
        </w:rPr>
        <w:t xml:space="preserve">1, 2, 3,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11</w:t>
      </w:r>
      <w:r>
        <w:rPr>
          <w:sz w:val="24"/>
          <w:szCs w:val="24"/>
        </w:rPr>
        <w:t xml:space="preserve"> ставится: 1 балл – полный верный ответ, 0 баллов – неполный ответ или неверный ответ, или ответ отсутствует.</w:t>
      </w:r>
      <w:r>
        <w:rPr>
          <w:sz w:val="24"/>
          <w:szCs w:val="24"/>
        </w:rPr>
      </w:r>
    </w:p>
    <w:p>
      <w:pPr>
        <w:ind w:right="-1" w:firstLine="567"/>
        <w:jc w:val="both"/>
        <w:tabs>
          <w:tab w:val="lef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заданий №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8,</w:t>
      </w:r>
      <w:r>
        <w:rPr>
          <w:sz w:val="24"/>
          <w:szCs w:val="24"/>
        </w:rPr>
        <w:t xml:space="preserve"> 10 ставится: 2 балла – полный 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1 балл - </w:t>
      </w:r>
      <w:r>
        <w:rPr>
          <w:sz w:val="24"/>
          <w:szCs w:val="24"/>
        </w:rPr>
        <w:t xml:space="preserve">неполный ответ или частично неверный ответ (смотри критерии);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отсутствует. </w:t>
      </w:r>
      <w:r>
        <w:rPr>
          <w:sz w:val="24"/>
          <w:szCs w:val="24"/>
        </w:rPr>
      </w:r>
    </w:p>
    <w:p>
      <w:pPr>
        <w:ind w:right="-1" w:firstLine="567"/>
        <w:jc w:val="both"/>
        <w:tabs>
          <w:tab w:val="lef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заданий № 6, 7 </w:t>
      </w:r>
      <w:r>
        <w:rPr>
          <w:sz w:val="24"/>
          <w:szCs w:val="24"/>
        </w:rPr>
        <w:t xml:space="preserve">(задания повышенного уровня)</w:t>
      </w:r>
      <w:r>
        <w:rPr>
          <w:sz w:val="24"/>
          <w:szCs w:val="24"/>
        </w:rPr>
        <w:t xml:space="preserve"> ставится: 2 балла – полный верный ответ, 0 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 ответ или ответ отсутствует. </w:t>
      </w:r>
      <w:r>
        <w:rPr>
          <w:sz w:val="24"/>
          <w:szCs w:val="24"/>
        </w:rPr>
      </w:r>
    </w:p>
    <w:p>
      <w:pPr>
        <w:ind w:right="-1" w:firstLine="567"/>
        <w:jc w:val="both"/>
        <w:tabs>
          <w:tab w:val="left" w:pos="935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 xml:space="preserve">16</w:t>
      </w:r>
      <w:r>
        <w:rPr>
          <w:spacing w:val="-5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учащийся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баллов, 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 базового 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подготовки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литературному чтению. </w:t>
      </w:r>
      <w:r>
        <w:rPr>
          <w:sz w:val="24"/>
          <w:szCs w:val="24"/>
        </w:rPr>
      </w:r>
    </w:p>
    <w:p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Уровни: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«Отлично» – 12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16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«Хорошо» – 9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11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«Удовлетворительно» – 6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8 баллов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567"/>
        <w:rPr>
          <w:rFonts w:eastAsia="Batang"/>
          <w:sz w:val="32"/>
          <w:szCs w:val="32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- 0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-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5 баллов</w:t>
      </w:r>
      <w:r>
        <w:rPr>
          <w:rFonts w:eastAsia="Batang"/>
          <w:sz w:val="32"/>
          <w:szCs w:val="32"/>
          <w:shd w:val="clear" w:color="auto" w:fill="ffffff"/>
        </w:rPr>
      </w:r>
    </w:p>
    <w:p>
      <w:pPr>
        <w:ind w:right="38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38"/>
        <w:jc w:val="center"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Ответы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к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заданиям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с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выбором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ответа</w:t>
      </w:r>
      <w:r>
        <w:rPr>
          <w:b/>
          <w:sz w:val="24"/>
          <w:szCs w:val="24"/>
          <w:u w:val="single"/>
        </w:rPr>
      </w:r>
    </w:p>
    <w:p>
      <w:pPr>
        <w:ind w:right="38"/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31"/>
        <w:tblW w:w="0" w:type="auto"/>
        <w:tblLook w:val="04A0" w:firstRow="1" w:lastRow="0" w:firstColumn="1" w:lastColumn="0" w:noHBand="0" w:noVBand="1"/>
      </w:tblPr>
      <w:tblGrid>
        <w:gridCol w:w="1219"/>
        <w:gridCol w:w="5126"/>
        <w:gridCol w:w="3226"/>
      </w:tblGrid>
      <w:tr>
        <w:tblPrEx/>
        <w:trPr/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задания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Ответ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рассказ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shd w:val="clear" w:color="auto" w:fill="ffffff"/>
              </w:rPr>
              <w:t xml:space="preserve">Умей отвечать за свои поступки.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Велосипед, рубашка, башмак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обманщик, трус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Примечание: по 1 баллу за каждую черту характера</w:t>
            </w:r>
            <w:r>
              <w:rPr>
                <w:b/>
                <w:i/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2 1 4 3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7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обмане далеко не уедешь.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8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ремонтироваться; исправляться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rPr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Примечание: по 1 баллу за каждое слово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9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Проучить - наказать кого-либо, заставляя быть осмотрительнее в делах.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Заголовок отражает тему текста.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  <w:u w:val="single"/>
        </w:rPr>
      </w:pPr>
      <w:r>
        <w:rPr>
          <w:b/>
          <w:spacing w:val="-2"/>
          <w:sz w:val="24"/>
          <w:szCs w:val="24"/>
          <w:u w:val="single"/>
        </w:rPr>
        <w:t xml:space="preserve">Критерии оценивания задания</w:t>
      </w:r>
      <w:r>
        <w:rPr>
          <w:b/>
          <w:sz w:val="24"/>
          <w:szCs w:val="24"/>
          <w:u w:val="single"/>
        </w:rPr>
        <w:t xml:space="preserve"> с развернутым </w:t>
      </w:r>
      <w:r>
        <w:rPr>
          <w:b/>
          <w:spacing w:val="-2"/>
          <w:sz w:val="24"/>
          <w:szCs w:val="24"/>
          <w:u w:val="single"/>
        </w:rPr>
        <w:t xml:space="preserve">ответом</w:t>
      </w:r>
      <w:r>
        <w:rPr>
          <w:b/>
          <w:sz w:val="24"/>
          <w:szCs w:val="24"/>
          <w:u w:val="single"/>
        </w:rPr>
      </w:r>
    </w:p>
    <w:p>
      <w:pPr>
        <w:ind w:right="1702"/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орфографические ошибки не учитываются.</w:t>
      </w:r>
      <w:r>
        <w:rPr>
          <w:i/>
          <w:sz w:val="24"/>
          <w:szCs w:val="24"/>
        </w:rPr>
      </w:r>
    </w:p>
    <w:tbl>
      <w:tblPr>
        <w:tblStyle w:val="628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268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6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Мама сильно у</w:t>
            </w:r>
            <w:r>
              <w:rPr>
                <w:i/>
                <w:sz w:val="24"/>
                <w:szCs w:val="24"/>
                <w:lang w:val="ru-RU"/>
              </w:rPr>
              <w:t xml:space="preserve">дивилась</w:t>
            </w:r>
            <w:r>
              <w:rPr>
                <w:i/>
                <w:sz w:val="24"/>
                <w:szCs w:val="24"/>
                <w:lang w:val="ru-RU"/>
              </w:rPr>
              <w:t xml:space="preserve">, изумилась.  Мама подняла руки вверх от недоумения.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Примечание: допускается н</w:t>
            </w:r>
            <w:r>
              <w:rPr>
                <w:i/>
                <w:sz w:val="24"/>
                <w:szCs w:val="24"/>
                <w:lang w:val="ru-RU"/>
              </w:rPr>
              <w:t xml:space="preserve">аличие </w:t>
            </w:r>
            <w:r>
              <w:rPr>
                <w:i/>
                <w:sz w:val="24"/>
                <w:szCs w:val="24"/>
                <w:lang w:val="ru-RU"/>
              </w:rPr>
              <w:t xml:space="preserve">другого </w:t>
            </w:r>
            <w:r>
              <w:rPr>
                <w:i/>
                <w:sz w:val="24"/>
                <w:szCs w:val="24"/>
                <w:lang w:val="ru-RU"/>
              </w:rPr>
              <w:t xml:space="preserve">рассуждения</w:t>
            </w:r>
            <w:r>
              <w:rPr>
                <w:i/>
                <w:sz w:val="24"/>
                <w:szCs w:val="24"/>
                <w:lang w:val="ru-RU"/>
              </w:rPr>
              <w:t xml:space="preserve"> обучающегос</w:t>
            </w:r>
            <w:r>
              <w:rPr>
                <w:i/>
                <w:sz w:val="24"/>
                <w:szCs w:val="24"/>
                <w:lang w:val="ru-RU"/>
              </w:rPr>
              <w:t xml:space="preserve">я, связанное с этим словосочетанием. 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7088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bottom w:val="single" w:color="000000" w:sz="2" w:space="0"/>
            </w:tcBorders>
            <w:tcW w:w="7088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Обучающийся правильно понял выражение.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56"/>
        </w:trPr>
        <w:tc>
          <w:tcPr>
            <w:tcBorders>
              <w:bottom w:val="single" w:color="000000" w:sz="2" w:space="0"/>
            </w:tcBorders>
            <w:tcW w:w="7088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Обучающийся не понял выражение </w:t>
            </w:r>
            <w:r>
              <w:rPr>
                <w:sz w:val="24"/>
                <w:szCs w:val="24"/>
                <w:lang w:val="ru-RU"/>
              </w:rPr>
              <w:t xml:space="preserve">или ответ отсутствует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7088" w:type="dxa"/>
            <w:textDirection w:val="lrTb"/>
            <w:noWrap w:val="false"/>
          </w:tcPr>
          <w:p>
            <w:pPr>
              <w:pStyle w:val="630"/>
              <w:ind w:left="142"/>
              <w:jc w:val="right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28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10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 xml:space="preserve">Примерное рассуждение обучающегося: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Миша задумался над тем, что нельзя обманывать. </w:t>
            </w:r>
            <w:r>
              <w:rPr>
                <w:i/>
                <w:sz w:val="24"/>
                <w:szCs w:val="24"/>
                <w:lang w:val="ru-RU"/>
              </w:rPr>
              <w:t xml:space="preserve">Ему стало стыдно.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Миша задумался над тем, что обман всегда вскроется.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Он решил больше не обманывать.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Миша задумался над тем, что больше никогда не будет обманывать маму. Ему стало стыдно.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любой другой ответ, который соответствует контексту произведения.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Учитель оценивает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правильность </w:t>
            </w:r>
            <w:r>
              <w:rPr>
                <w:sz w:val="24"/>
                <w:szCs w:val="24"/>
                <w:lang w:val="ru-RU"/>
              </w:rPr>
              <w:t xml:space="preserve">(соответствие контексту произведения)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b/>
                <w:sz w:val="24"/>
                <w:szCs w:val="24"/>
                <w:lang w:val="ru-RU"/>
              </w:rPr>
              <w:t xml:space="preserve">логичность</w:t>
            </w:r>
            <w:r>
              <w:rPr>
                <w:sz w:val="24"/>
                <w:szCs w:val="24"/>
                <w:lang w:val="ru-RU"/>
              </w:rPr>
              <w:t xml:space="preserve"> (последовательность, доказательность) рассуждений </w:t>
            </w:r>
            <w:r>
              <w:rPr>
                <w:sz w:val="24"/>
                <w:szCs w:val="24"/>
                <w:lang w:val="ru-RU"/>
              </w:rPr>
              <w:t xml:space="preserve">обучающегося.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81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рассуждении обучающегося присутствуют оба критерия (правильность, логичность)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Рассуждение оформлено в виде предложения.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46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рассуждении обучающегося присутствует только один критерий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Рассуждение не оформлено в виде предложения.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46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30"/>
              <w:ind w:left="14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Рассуждение обучающегося не соответствует контексту произведения или ответ отсутствует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30"/>
              <w:ind w:left="142"/>
              <w:jc w:val="right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30"/>
              <w:ind w:left="142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/>
        <w:rPr>
          <w:sz w:val="24"/>
          <w:szCs w:val="24"/>
        </w:rPr>
      </w:pPr>
      <w:r/>
      <w:bookmarkStart w:id="0" w:name="_GoBack"/>
      <w:r/>
      <w:bookmarkEnd w:id="0"/>
      <w:r/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4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9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22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4"/>
    <w:next w:val="62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4"/>
    <w:next w:val="6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4"/>
    <w:next w:val="6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4"/>
    <w:next w:val="6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4"/>
    <w:next w:val="6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4"/>
    <w:next w:val="6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4"/>
    <w:next w:val="62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5"/>
    <w:link w:val="35"/>
    <w:uiPriority w:val="10"/>
    <w:rPr>
      <w:sz w:val="48"/>
      <w:szCs w:val="48"/>
    </w:rPr>
  </w:style>
  <w:style w:type="paragraph" w:styleId="37">
    <w:name w:val="Subtitle"/>
    <w:basedOn w:val="624"/>
    <w:next w:val="6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5"/>
    <w:link w:val="37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table" w:styleId="62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9">
    <w:name w:val="List Paragraph"/>
    <w:basedOn w:val="624"/>
    <w:uiPriority w:val="1"/>
    <w:qFormat/>
    <w:pPr>
      <w:ind w:left="1103" w:hanging="282"/>
    </w:pPr>
    <w:rPr>
      <w:rFonts w:ascii="Arial" w:hAnsi="Arial" w:eastAsia="Arial" w:cs="Arial"/>
    </w:rPr>
  </w:style>
  <w:style w:type="paragraph" w:styleId="630" w:customStyle="1">
    <w:name w:val="Table Paragraph"/>
    <w:basedOn w:val="624"/>
    <w:uiPriority w:val="1"/>
    <w:qFormat/>
    <w:pPr>
      <w:spacing w:line="189" w:lineRule="exact"/>
    </w:pPr>
  </w:style>
  <w:style w:type="table" w:styleId="631">
    <w:name w:val="Table Grid"/>
    <w:basedOn w:val="62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EE5E-D5CB-414E-812F-5017C862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ЦНППМ (г. Ивантеевка)</cp:lastModifiedBy>
  <cp:revision>104</cp:revision>
  <dcterms:created xsi:type="dcterms:W3CDTF">2024-03-24T10:35:00Z</dcterms:created>
  <dcterms:modified xsi:type="dcterms:W3CDTF">2026-04-15T07:52:51Z</dcterms:modified>
</cp:coreProperties>
</file>